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w:t>
      </w:r>
      <w:r>
        <w:rPr>
          <w:rFonts w:hint="eastAsia" w:ascii="宋体" w:hAnsi="宋体" w:cs="仿宋_GB2312"/>
          <w:color w:val="auto"/>
          <w:sz w:val="24"/>
          <w:lang w:eastAsia="zh-CN"/>
        </w:rPr>
        <w:t>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连续3</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sz w:val="28"/>
          <w:szCs w:val="28"/>
        </w:rPr>
        <w:t>(3)</w:t>
      </w:r>
      <w:r>
        <w:rPr>
          <w:rFonts w:hint="eastAsia" w:ascii="宋体" w:hAnsi="宋体"/>
          <w:color w:val="auto"/>
          <w:sz w:val="28"/>
          <w:szCs w:val="28"/>
        </w:rPr>
        <w:t>供应商依法缴纳社会保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月内</w:t>
      </w:r>
      <w:r>
        <w:rPr>
          <w:rFonts w:hint="eastAsia" w:ascii="宋体" w:hAnsi="宋体"/>
          <w:color w:val="auto"/>
          <w:sz w:val="28"/>
          <w:szCs w:val="28"/>
          <w:lang w:val="en-US" w:eastAsia="zh-CN"/>
        </w:rPr>
        <w:t>连续3</w:t>
      </w:r>
      <w:r>
        <w:rPr>
          <w:rFonts w:hint="eastAsia" w:ascii="宋体" w:hAnsi="宋体"/>
          <w:color w:val="auto"/>
          <w:sz w:val="28"/>
          <w:szCs w:val="28"/>
        </w:rPr>
        <w:t>个月的依法缴纳社会保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color w:val="auto"/>
          <w:sz w:val="28"/>
          <w:szCs w:val="28"/>
        </w:rPr>
        <w:t>的缴费凭证（专用收据或者社会保险缴纳清单）复印件；依法不需要缴纳社会保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金的，必须提供相应文件证明不需要缴纳社会保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bookmarkStart w:id="2" w:name="_GoBack"/>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bookmarkEnd w:id="2"/>
      <w:r>
        <w:rPr>
          <w:rFonts w:hint="eastAsia" w:ascii="宋体" w:hAnsi="宋体"/>
          <w:sz w:val="28"/>
          <w:szCs w:val="28"/>
        </w:rPr>
        <w:t>度的审计报告复印件</w:t>
      </w:r>
      <w:r>
        <w:rPr>
          <w:rFonts w:hint="eastAsia" w:ascii="宋体" w:hAnsi="宋体"/>
          <w:sz w:val="28"/>
          <w:szCs w:val="28"/>
          <w:lang w:eastAsia="zh-CN"/>
        </w:rPr>
        <w:t>，</w:t>
      </w:r>
      <w:r>
        <w:rPr>
          <w:rFonts w:hint="eastAsia" w:ascii="宋体" w:hAnsi="宋体"/>
          <w:b/>
          <w:bCs/>
          <w:sz w:val="28"/>
          <w:szCs w:val="28"/>
        </w:rPr>
        <w:t>或其开户银行出具的2025年1月以后的资信证明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w:t>
      </w:r>
      <w:r>
        <w:rPr>
          <w:rFonts w:hint="eastAsia" w:ascii="宋体" w:hAnsi="宋体"/>
          <w:color w:val="auto"/>
          <w:sz w:val="24"/>
          <w:highlight w:val="none"/>
        </w:rPr>
        <w:t>不限于消防维保服务项目中的相关设备、劳务、管理、材料、维护、保险、利润、税金、政策性文件规定的各项费用及所有风险、责任等各项应有费用）。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sz w:val="24"/>
          <w:szCs w:val="24"/>
        </w:rPr>
      </w:pPr>
      <w:r>
        <w:rPr>
          <w:rFonts w:hAnsi="宋体"/>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tbl>
      <w:tblPr>
        <w:tblStyle w:val="11"/>
        <w:tblpPr w:leftFromText="180" w:rightFromText="180" w:vertAnchor="text" w:tblpX="-322" w:tblpY="99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316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425" w:type="dxa"/>
          </w:tcPr>
          <w:p>
            <w:pPr>
              <w:numPr>
                <w:ilvl w:val="0"/>
                <w:numId w:val="0"/>
              </w:numPr>
              <w:jc w:val="center"/>
              <w:rPr>
                <w:rFonts w:hint="eastAsia"/>
                <w:b/>
                <w:sz w:val="32"/>
                <w:szCs w:val="32"/>
                <w:vertAlign w:val="baseline"/>
              </w:rPr>
            </w:pPr>
            <w:r>
              <w:rPr>
                <w:rFonts w:hint="eastAsia" w:ascii="仿宋" w:hAnsi="仿宋" w:eastAsia="仿宋" w:cs="仿宋"/>
                <w:b/>
                <w:bCs/>
                <w:color w:val="auto"/>
                <w:sz w:val="24"/>
                <w:highlight w:val="none"/>
              </w:rPr>
              <w:t>▲</w:t>
            </w:r>
            <w:r>
              <w:rPr>
                <w:rFonts w:hint="eastAsia"/>
                <w:b/>
                <w:sz w:val="32"/>
                <w:szCs w:val="32"/>
                <w:vertAlign w:val="baseline"/>
              </w:rPr>
              <w:t>技术要求</w:t>
            </w:r>
          </w:p>
        </w:tc>
        <w:tc>
          <w:tcPr>
            <w:tcW w:w="3169" w:type="dxa"/>
          </w:tcPr>
          <w:p>
            <w:pPr>
              <w:numPr>
                <w:ilvl w:val="0"/>
                <w:numId w:val="0"/>
              </w:numPr>
              <w:jc w:val="center"/>
              <w:rPr>
                <w:rFonts w:hint="default" w:eastAsia="宋体"/>
                <w:b/>
                <w:sz w:val="32"/>
                <w:szCs w:val="32"/>
                <w:vertAlign w:val="baseline"/>
                <w:lang w:val="en-US" w:eastAsia="zh-CN"/>
              </w:rPr>
            </w:pPr>
            <w:r>
              <w:rPr>
                <w:rFonts w:hint="default" w:eastAsia="宋体"/>
                <w:b/>
                <w:sz w:val="32"/>
                <w:szCs w:val="32"/>
                <w:vertAlign w:val="baseline"/>
                <w:lang w:val="en-US" w:eastAsia="zh-CN"/>
              </w:rPr>
              <w:t>具体响应</w:t>
            </w:r>
          </w:p>
        </w:tc>
        <w:tc>
          <w:tcPr>
            <w:tcW w:w="1256" w:type="dxa"/>
          </w:tcPr>
          <w:p>
            <w:pPr>
              <w:numPr>
                <w:ilvl w:val="0"/>
                <w:numId w:val="0"/>
              </w:numPr>
              <w:jc w:val="center"/>
              <w:rPr>
                <w:rFonts w:hint="default" w:eastAsia="宋体"/>
                <w:b/>
                <w:sz w:val="32"/>
                <w:szCs w:val="32"/>
                <w:vertAlign w:val="baseline"/>
                <w:lang w:val="en-US" w:eastAsia="zh-CN"/>
              </w:rPr>
            </w:pPr>
            <w:r>
              <w:rPr>
                <w:sz w:val="24"/>
                <w:szCs w:val="24"/>
                <w:lang w:val="en-US" w:eastAsia="zh-CN"/>
              </w:rPr>
              <w:t>技术偏离情况说明(＋/</w:t>
            </w:r>
            <w:r>
              <w:rPr>
                <w:rFonts w:hint="eastAsia"/>
                <w:sz w:val="24"/>
                <w:szCs w:val="24"/>
                <w:lang w:val="en-US" w:eastAsia="zh-CN"/>
              </w:rPr>
              <w:t>-</w:t>
            </w:r>
            <w:r>
              <w:rPr>
                <w:sz w:val="24"/>
                <w:szCs w:val="24"/>
                <w:lang w:val="en-US" w:eastAsia="zh-CN"/>
              </w:rPr>
              <w:t>/=)</w:t>
            </w:r>
          </w:p>
        </w:tc>
      </w:tr>
    </w:tbl>
    <w:p>
      <w:pPr>
        <w:numPr>
          <w:ilvl w:val="0"/>
          <w:numId w:val="0"/>
        </w:numPr>
        <w:jc w:val="center"/>
        <w:rPr>
          <w:rFonts w:hint="eastAsia"/>
          <w:b/>
          <w:sz w:val="32"/>
          <w:szCs w:val="32"/>
          <w:highlight w:val="none"/>
        </w:rPr>
      </w:pPr>
      <w:r>
        <w:rPr>
          <w:rFonts w:hint="eastAsia"/>
          <w:b/>
          <w:sz w:val="32"/>
          <w:szCs w:val="32"/>
          <w:highlight w:val="none"/>
          <w:lang w:val="en-US" w:eastAsia="zh-CN"/>
        </w:rPr>
        <w:t>9.技术要求</w:t>
      </w:r>
      <w:r>
        <w:rPr>
          <w:rFonts w:hint="eastAsia"/>
          <w:b/>
          <w:sz w:val="32"/>
          <w:szCs w:val="32"/>
          <w:highlight w:val="none"/>
        </w:rPr>
        <w:t>响应表</w:t>
      </w:r>
    </w:p>
    <w:tbl>
      <w:tblPr>
        <w:tblStyle w:val="10"/>
        <w:tblpPr w:leftFromText="180" w:rightFromText="180" w:vertAnchor="text" w:horzAnchor="page" w:tblpX="1465" w:tblpY="443"/>
        <w:tblOverlap w:val="never"/>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1"/>
        <w:gridCol w:w="3176"/>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88" w:hRule="atLeast"/>
        </w:trPr>
        <w:tc>
          <w:tcPr>
            <w:tcW w:w="4431" w:type="dxa"/>
            <w:noWrap w:val="0"/>
            <w:vAlign w:val="top"/>
          </w:tcPr>
          <w:p>
            <w:pPr>
              <w:spacing w:line="480" w:lineRule="exact"/>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1.对院内13个化粪池清运，室外排污渠、沙井（72个）污水管道清理疏通及巡检。</w:t>
            </w:r>
          </w:p>
          <w:p>
            <w:pPr>
              <w:spacing w:line="480" w:lineRule="exact"/>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2.每个季度不少于一次全面清运，每月一次全面巡检，巡检包括化粪池及相关污水渠，污水管道，如巡检发现化粪池、沙井较满或者排污渠堵塞必须及时清理。</w:t>
            </w:r>
          </w:p>
          <w:p>
            <w:pPr>
              <w:widowControl/>
              <w:spacing w:line="360" w:lineRule="auto"/>
              <w:jc w:val="left"/>
              <w:rPr>
                <w:rFonts w:hint="eastAsia" w:ascii="仿宋" w:hAnsi="仿宋" w:eastAsia="仿宋" w:cs="仿宋"/>
                <w:color w:val="auto"/>
                <w:highlight w:val="none"/>
              </w:rPr>
            </w:pPr>
            <w:r>
              <w:rPr>
                <w:rFonts w:hint="eastAsia" w:ascii="仿宋" w:hAnsi="仿宋" w:eastAsia="仿宋" w:cs="仿宋"/>
                <w:b w:val="0"/>
                <w:bCs/>
                <w:color w:val="auto"/>
                <w:sz w:val="24"/>
                <w:highlight w:val="none"/>
              </w:rPr>
              <w:t>3.遇突发情况（包括但不限于化粪池满溢，污水渠管道堵塞破裂等）要求1小时内人员设备到场处理。</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bl>
    <w:p>
      <w:pPr>
        <w:pStyle w:val="2"/>
        <w:numPr>
          <w:ilvl w:val="0"/>
          <w:numId w:val="0"/>
        </w:num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59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rFonts w:hint="eastAsia" w:hAnsi="宋体"/>
                <w:color w:val="auto"/>
                <w:sz w:val="24"/>
                <w:szCs w:val="24"/>
                <w:lang w:eastAsia="zh-CN"/>
              </w:rPr>
              <w:t>商务</w:t>
            </w:r>
            <w:r>
              <w:rPr>
                <w:color w:val="auto"/>
                <w:sz w:val="24"/>
                <w:szCs w:val="24"/>
                <w:lang w:val="en-US" w:eastAsia="zh-CN"/>
              </w:rPr>
              <w:t>偏</w:t>
            </w:r>
            <w:r>
              <w:rPr>
                <w:sz w:val="24"/>
                <w:szCs w:val="24"/>
                <w:lang w:val="en-US" w:eastAsia="zh-CN"/>
              </w:rPr>
              <w:t>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服务时间：自双方签订合同起1年。</w:t>
            </w:r>
          </w:p>
          <w:p>
            <w:pPr>
              <w:pStyle w:val="6"/>
              <w:snapToGrid w:val="0"/>
              <w:jc w:val="left"/>
              <w:rPr>
                <w:sz w:val="24"/>
                <w:szCs w:val="24"/>
                <w:lang w:val="en-US" w:eastAsia="zh-CN"/>
              </w:rPr>
            </w:pPr>
            <w:r>
              <w:rPr>
                <w:rFonts w:hint="eastAsia"/>
                <w:sz w:val="24"/>
                <w:szCs w:val="24"/>
                <w:lang w:val="en-US" w:eastAsia="zh-CN"/>
              </w:rPr>
              <w:t>服务地点：梧州市人民医院。</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2</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报价要求：本项目总报价价格采用包干方式（维修另计），项目中的相关劳务、管理、材料、维护、保险、利润、税金、政策性文件规定的各项费用及所有风险、责任，请供应商自行考虑报价。</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3</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付款方式：支付周期为季度结算，结算款与考核挂钩。即每个季度期满，服务</w:t>
            </w:r>
            <w:r>
              <w:rPr>
                <w:rFonts w:hint="eastAsia"/>
                <w:color w:val="auto"/>
                <w:sz w:val="24"/>
                <w:szCs w:val="24"/>
                <w:lang w:val="en-US" w:eastAsia="zh-CN"/>
              </w:rPr>
              <w:t>商按</w:t>
            </w:r>
            <w:r>
              <w:rPr>
                <w:rFonts w:hint="eastAsia"/>
                <w:sz w:val="24"/>
                <w:szCs w:val="24"/>
                <w:lang w:val="en-US" w:eastAsia="zh-CN"/>
              </w:rPr>
              <w:t>考核结果开具正规发票给采购人，采购人30个工作日内向服务商支付上季度结算款。</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4</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验收标准：</w:t>
            </w:r>
          </w:p>
          <w:p>
            <w:pPr>
              <w:pStyle w:val="6"/>
              <w:snapToGrid w:val="0"/>
              <w:jc w:val="left"/>
              <w:rPr>
                <w:sz w:val="24"/>
                <w:szCs w:val="24"/>
                <w:lang w:val="en-US" w:eastAsia="zh-CN"/>
              </w:rPr>
            </w:pPr>
            <w:r>
              <w:rPr>
                <w:rFonts w:hint="eastAsia"/>
                <w:sz w:val="24"/>
                <w:szCs w:val="24"/>
                <w:lang w:val="en-US" w:eastAsia="zh-CN"/>
              </w:rPr>
              <w:t>符合现行国家相关标准、行业标准、地方标准或者其他标准、规范，包含但不限于</w:t>
            </w:r>
            <w:r>
              <w:rPr>
                <w:rFonts w:hint="eastAsia"/>
                <w:sz w:val="24"/>
                <w:szCs w:val="24"/>
                <w:highlight w:val="none"/>
                <w:lang w:val="en-US" w:eastAsia="zh-CN"/>
              </w:rPr>
              <w:t>每次清运后，由院方核实服务成果等。</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pPr>
        <w:rPr>
          <w:rFonts w:hint="eastAsia" w:ascii="宋体" w:hAnsi="宋体" w:cs="宋体"/>
          <w:b/>
          <w:color w:val="auto"/>
          <w:szCs w:val="21"/>
          <w:highlight w:val="none"/>
          <w:lang w:eastAsia="zh-CN"/>
        </w:rPr>
      </w:pPr>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服务承诺</w:t>
      </w:r>
      <w:r>
        <w:rPr>
          <w:rFonts w:hint="eastAsia" w:ascii="宋体" w:hAnsi="宋体" w:eastAsia="宋体" w:cs="宋体"/>
          <w:b/>
          <w:color w:val="auto"/>
          <w:szCs w:val="21"/>
          <w:highlight w:val="none"/>
          <w:lang w:val="en-US" w:eastAsia="zh-CN"/>
        </w:rPr>
        <w:t>（格式自拟）</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2D31323"/>
    <w:rsid w:val="03852133"/>
    <w:rsid w:val="03CB1C79"/>
    <w:rsid w:val="03F1544C"/>
    <w:rsid w:val="047E67C6"/>
    <w:rsid w:val="05F311C2"/>
    <w:rsid w:val="06506CDE"/>
    <w:rsid w:val="06DB1016"/>
    <w:rsid w:val="0702727A"/>
    <w:rsid w:val="08291606"/>
    <w:rsid w:val="090425C3"/>
    <w:rsid w:val="09A2061D"/>
    <w:rsid w:val="09C14406"/>
    <w:rsid w:val="09EA42CB"/>
    <w:rsid w:val="09F97601"/>
    <w:rsid w:val="0A9954E7"/>
    <w:rsid w:val="0AF3146A"/>
    <w:rsid w:val="0C0753D9"/>
    <w:rsid w:val="0C745B06"/>
    <w:rsid w:val="0E5F2A26"/>
    <w:rsid w:val="0EE07859"/>
    <w:rsid w:val="0F1312BB"/>
    <w:rsid w:val="0F9539A9"/>
    <w:rsid w:val="0FCB742D"/>
    <w:rsid w:val="0FE84EA0"/>
    <w:rsid w:val="128F7865"/>
    <w:rsid w:val="13812A26"/>
    <w:rsid w:val="147521B1"/>
    <w:rsid w:val="14866069"/>
    <w:rsid w:val="165E0E69"/>
    <w:rsid w:val="16D15EDA"/>
    <w:rsid w:val="16EC4B78"/>
    <w:rsid w:val="17E32DA4"/>
    <w:rsid w:val="17EF03C8"/>
    <w:rsid w:val="185E1261"/>
    <w:rsid w:val="18F86C11"/>
    <w:rsid w:val="1938083B"/>
    <w:rsid w:val="1A323180"/>
    <w:rsid w:val="1A7A68F2"/>
    <w:rsid w:val="1CD64190"/>
    <w:rsid w:val="1ED35123"/>
    <w:rsid w:val="1FDA5520"/>
    <w:rsid w:val="1FE06281"/>
    <w:rsid w:val="20C2039F"/>
    <w:rsid w:val="231E2290"/>
    <w:rsid w:val="247340A9"/>
    <w:rsid w:val="25034756"/>
    <w:rsid w:val="255C2222"/>
    <w:rsid w:val="27BC21D4"/>
    <w:rsid w:val="27E4645B"/>
    <w:rsid w:val="282339FA"/>
    <w:rsid w:val="288040E5"/>
    <w:rsid w:val="29265B68"/>
    <w:rsid w:val="294F6476"/>
    <w:rsid w:val="29D07D3B"/>
    <w:rsid w:val="29DC3D4A"/>
    <w:rsid w:val="2A480124"/>
    <w:rsid w:val="2A795BF4"/>
    <w:rsid w:val="2A7E7711"/>
    <w:rsid w:val="2AC50187"/>
    <w:rsid w:val="2B160ACF"/>
    <w:rsid w:val="2B746227"/>
    <w:rsid w:val="2CC11469"/>
    <w:rsid w:val="2D1957A2"/>
    <w:rsid w:val="2DFD1B5A"/>
    <w:rsid w:val="2F1C6C03"/>
    <w:rsid w:val="2F2A5A7F"/>
    <w:rsid w:val="31581161"/>
    <w:rsid w:val="31D05343"/>
    <w:rsid w:val="3243493F"/>
    <w:rsid w:val="33791A1A"/>
    <w:rsid w:val="34633C5E"/>
    <w:rsid w:val="34C5784F"/>
    <w:rsid w:val="362736AE"/>
    <w:rsid w:val="368A4024"/>
    <w:rsid w:val="37A73E1D"/>
    <w:rsid w:val="3886699A"/>
    <w:rsid w:val="38DE5E4E"/>
    <w:rsid w:val="39061499"/>
    <w:rsid w:val="39401A89"/>
    <w:rsid w:val="3AA907D9"/>
    <w:rsid w:val="3D0A49B1"/>
    <w:rsid w:val="3D730306"/>
    <w:rsid w:val="3D752A12"/>
    <w:rsid w:val="411C7D8F"/>
    <w:rsid w:val="420740C1"/>
    <w:rsid w:val="42526683"/>
    <w:rsid w:val="429678BD"/>
    <w:rsid w:val="43A61C8B"/>
    <w:rsid w:val="44A33F09"/>
    <w:rsid w:val="457E395D"/>
    <w:rsid w:val="45C21FDC"/>
    <w:rsid w:val="45F53672"/>
    <w:rsid w:val="4685058A"/>
    <w:rsid w:val="480310F5"/>
    <w:rsid w:val="486D24FC"/>
    <w:rsid w:val="489570F6"/>
    <w:rsid w:val="48F03D73"/>
    <w:rsid w:val="4A560C51"/>
    <w:rsid w:val="4AE41C16"/>
    <w:rsid w:val="4CBA0C7F"/>
    <w:rsid w:val="4CC032D8"/>
    <w:rsid w:val="4E457949"/>
    <w:rsid w:val="4E5424E0"/>
    <w:rsid w:val="4E671B98"/>
    <w:rsid w:val="4E814B23"/>
    <w:rsid w:val="50175EE1"/>
    <w:rsid w:val="52A50E7E"/>
    <w:rsid w:val="5412330C"/>
    <w:rsid w:val="54BC351D"/>
    <w:rsid w:val="55346759"/>
    <w:rsid w:val="55697A67"/>
    <w:rsid w:val="55C81178"/>
    <w:rsid w:val="56375162"/>
    <w:rsid w:val="57890B38"/>
    <w:rsid w:val="57CE4182"/>
    <w:rsid w:val="58EC5AAA"/>
    <w:rsid w:val="58FC1CF7"/>
    <w:rsid w:val="5AB70B1C"/>
    <w:rsid w:val="5AE76BBD"/>
    <w:rsid w:val="5B95211B"/>
    <w:rsid w:val="5DA738E9"/>
    <w:rsid w:val="5F1A313C"/>
    <w:rsid w:val="5F1D1DDA"/>
    <w:rsid w:val="5FAC076E"/>
    <w:rsid w:val="5FC42D7A"/>
    <w:rsid w:val="611658CA"/>
    <w:rsid w:val="61B94672"/>
    <w:rsid w:val="61C57F31"/>
    <w:rsid w:val="61F948E3"/>
    <w:rsid w:val="62EF2A3B"/>
    <w:rsid w:val="6300422E"/>
    <w:rsid w:val="630F7C96"/>
    <w:rsid w:val="65A501DF"/>
    <w:rsid w:val="662743C2"/>
    <w:rsid w:val="66B927F1"/>
    <w:rsid w:val="66C87F1B"/>
    <w:rsid w:val="6736098D"/>
    <w:rsid w:val="676B1230"/>
    <w:rsid w:val="67735D70"/>
    <w:rsid w:val="677A1E2C"/>
    <w:rsid w:val="67A74BA6"/>
    <w:rsid w:val="69465C93"/>
    <w:rsid w:val="6984407E"/>
    <w:rsid w:val="69955D14"/>
    <w:rsid w:val="6BF90764"/>
    <w:rsid w:val="6C023B4D"/>
    <w:rsid w:val="6D066739"/>
    <w:rsid w:val="6D8F78A1"/>
    <w:rsid w:val="6E270E14"/>
    <w:rsid w:val="6E2E38FC"/>
    <w:rsid w:val="727D4D4D"/>
    <w:rsid w:val="737D6F9E"/>
    <w:rsid w:val="749E38AC"/>
    <w:rsid w:val="77F60E6F"/>
    <w:rsid w:val="79DC7CD7"/>
    <w:rsid w:val="7A7F0BD5"/>
    <w:rsid w:val="7ACC4140"/>
    <w:rsid w:val="7BA51112"/>
    <w:rsid w:val="7BFE6DDE"/>
    <w:rsid w:val="7C5B0BDE"/>
    <w:rsid w:val="7CAA04AC"/>
    <w:rsid w:val="7CC854A4"/>
    <w:rsid w:val="7D18448D"/>
    <w:rsid w:val="7D1E478A"/>
    <w:rsid w:val="7DAF2EB2"/>
    <w:rsid w:val="7E537BE3"/>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cp:lastPrinted>2026-02-14T01:49:00Z</cp:lastPrinted>
  <dcterms:modified xsi:type="dcterms:W3CDTF">2026-03-06T08:03:45Z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